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СВЕДЕНИЯ О ПРОЕКТЕ «СООРУЖЕНИЯ ДООЧИСТКИ. РЕКОНСТРУКЦИЯ КОМПЛЕКСА БИОЛОГИЧЕСКОЙ ДООЧИСТКИ СТОЧНЫХ ВОД </w:t>
        <w:br/>
        <w:t xml:space="preserve">ОТ БИОГЕННЫХ ЭЛЕМЕНТОВ, Г.О. САМАРА, </w:t>
        <w:br/>
        <w:t>ПРОИЗВОДИТЕЛЬНОСТЬЮ 640,0 ТЫС.М</w:t>
      </w:r>
      <w:r>
        <w:rPr>
          <w:rFonts w:cs="Times New Roman" w:ascii="Times New Roman" w:hAnsi="Times New Roman"/>
          <w:b/>
          <w:sz w:val="24"/>
          <w:szCs w:val="24"/>
          <w:vertAlign w:val="superscript"/>
        </w:rPr>
        <w:t>3</w:t>
      </w:r>
      <w:r>
        <w:rPr>
          <w:rFonts w:cs="Times New Roman" w:ascii="Times New Roman" w:hAnsi="Times New Roman"/>
          <w:b/>
          <w:sz w:val="24"/>
          <w:szCs w:val="24"/>
        </w:rPr>
        <w:t>/СУТ.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 Описание намечаемой хозяйственной и иной деятельности, включая обоснование потребности, условия и цель ее реализации, возможные альтернативы, сроки осуществления, предполагаемое место размещения объектов, объем потребности в земельных, энергетических и иных ресурсах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 Заданием на проектирование </w:t>
      </w:r>
      <w:r>
        <w:rPr>
          <w:rFonts w:cs="Times New Roman" w:ascii="Times New Roman" w:hAnsi="Times New Roman"/>
          <w:b/>
          <w:i/>
          <w:sz w:val="24"/>
          <w:szCs w:val="24"/>
        </w:rPr>
        <w:t>проектом предусматривается</w:t>
      </w:r>
      <w:r>
        <w:rPr>
          <w:rFonts w:cs="Times New Roman" w:ascii="Times New Roman" w:hAnsi="Times New Roman"/>
          <w:sz w:val="24"/>
          <w:szCs w:val="24"/>
        </w:rPr>
        <w:t xml:space="preserve"> выделение трех этапов строительства: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 Этап – Реконструкция комплекса механической очистки сточных вод со строительством зданий решеток и песковых бункеров;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II Этап – Реконструкция сооружений биологической очистки;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III Этап – Реконструкция сооружений доочистки.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I Этапе предусматривается:</w:t>
      </w:r>
    </w:p>
    <w:p>
      <w:pPr>
        <w:pStyle w:val="ListParagraph"/>
        <w:numPr>
          <w:ilvl w:val="0"/>
          <w:numId w:val="1"/>
        </w:numPr>
        <w:ind w:left="0" w:firstLine="709"/>
        <w:rPr/>
      </w:pPr>
      <w:r>
        <w:rPr/>
        <w:t>Реконструкция существующих приемных камер 1 и 2 очереди;</w:t>
      </w:r>
    </w:p>
    <w:p>
      <w:pPr>
        <w:pStyle w:val="ListParagraph"/>
        <w:numPr>
          <w:ilvl w:val="0"/>
          <w:numId w:val="1"/>
        </w:numPr>
        <w:ind w:left="0" w:firstLine="709"/>
        <w:rPr/>
      </w:pPr>
      <w:r>
        <w:rPr/>
        <w:t>Строительство зданий решеток с обводным каналом для каждой очереди с установкой решеток тонкой очистки с прозорами 6мм;</w:t>
      </w:r>
    </w:p>
    <w:p>
      <w:pPr>
        <w:pStyle w:val="ListParagraph"/>
        <w:numPr>
          <w:ilvl w:val="0"/>
          <w:numId w:val="1"/>
        </w:numPr>
        <w:ind w:left="0" w:firstLine="709"/>
        <w:rPr/>
      </w:pPr>
      <w:r>
        <w:rPr/>
        <w:t>Реконструкция аэрируемых песколовок и песколовок с гидросмывом с целью повышения эффективности задержания песка;</w:t>
      </w:r>
    </w:p>
    <w:p>
      <w:pPr>
        <w:pStyle w:val="ListParagraph"/>
        <w:numPr>
          <w:ilvl w:val="0"/>
          <w:numId w:val="1"/>
        </w:numPr>
        <w:ind w:left="0" w:firstLine="709"/>
        <w:rPr>
          <w:rFonts w:eastAsia="Calibri" w:eastAsiaTheme="minorHAnsi"/>
        </w:rPr>
      </w:pPr>
      <w:r>
        <w:rPr/>
        <w:t>Строительство зданий песковых бункеров для каждой очереди сооружений с установкой сепараторов песка, позволяющих получать песок с влажностью до 20%.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II Этапе предусматривается:</w:t>
      </w:r>
    </w:p>
    <w:p>
      <w:pPr>
        <w:pStyle w:val="ListParagraph"/>
        <w:numPr>
          <w:ilvl w:val="0"/>
          <w:numId w:val="1"/>
        </w:numPr>
        <w:ind w:left="0" w:firstLine="709"/>
        <w:rPr/>
      </w:pPr>
      <w:r>
        <w:rPr/>
        <w:t>Реконструкция секций № 4 - 12 аэротенков ГОКС с внедрением технологии биологической очистки сточных вод с глубоким удалением азота.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III Этапе предусматривается:</w:t>
      </w:r>
    </w:p>
    <w:p>
      <w:pPr>
        <w:pStyle w:val="ListParagraph"/>
        <w:numPr>
          <w:ilvl w:val="0"/>
          <w:numId w:val="1"/>
        </w:numPr>
        <w:ind w:left="0" w:firstLine="709"/>
        <w:rPr/>
      </w:pPr>
      <w:r>
        <w:rPr/>
        <w:t>Внедрение системы реагентного удаления фосфора со строительством здания реагентного хозяйства;</w:t>
      </w:r>
    </w:p>
    <w:p>
      <w:pPr>
        <w:pStyle w:val="ListParagraph"/>
        <w:numPr>
          <w:ilvl w:val="0"/>
          <w:numId w:val="1"/>
        </w:numPr>
        <w:ind w:left="0" w:firstLine="709"/>
        <w:rPr/>
      </w:pPr>
      <w:r>
        <w:rPr/>
        <w:t>Реконструкция существующих вторичных отстойников с заменой физически и морально изношенного технологического оборудования и внедрением системы фильтрационной доочистки биологически очищенных сточных вод.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настоящее время существующие городские очистные канализационные сооружения (ГОКС) в силу используемой технологии не обеспечивают требуемое качество очистки поступающих сточных вод от крупных примесей, что негативно сказывается на последующем процессе полной биологической очистки, а также не позволяют обеспечить требуемое качество очистки как по органическим загрязнениям (ХПК, БПК), так и по биогенным элементам (формы азота, фосфор). В процессе биологической очистки соединения фосфора удаляются не полностью. Для снижения концентрации фосфатов в очищенной воде до требований сброса в водоемы рыбохозяйственного значения, установленных заданием на проектирование, должно предусматриваться использование реагентной обработки сточной воды. Поэтому для сооружений ГОКС г. Самары требуется изменение схемы доочистки сточных вод с реагентным удалением фосфора.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 xml:space="preserve">Проектная документация разработана с целью: </w:t>
      </w:r>
    </w:p>
    <w:p>
      <w:pPr>
        <w:pStyle w:val="ListParagraph"/>
        <w:numPr>
          <w:ilvl w:val="0"/>
          <w:numId w:val="2"/>
        </w:numPr>
        <w:tabs>
          <w:tab w:val="clear" w:pos="993"/>
          <w:tab w:val="left" w:pos="1134" w:leader="none"/>
        </w:tabs>
        <w:ind w:left="0" w:firstLine="709"/>
        <w:rPr/>
      </w:pPr>
      <w:r>
        <w:rPr/>
        <w:t xml:space="preserve">обеспечения требуемого качества очистки поступающих сточных вод от механических примесей; </w:t>
      </w:r>
    </w:p>
    <w:p>
      <w:pPr>
        <w:pStyle w:val="ListParagraph"/>
        <w:numPr>
          <w:ilvl w:val="0"/>
          <w:numId w:val="2"/>
        </w:numPr>
        <w:tabs>
          <w:tab w:val="clear" w:pos="993"/>
          <w:tab w:val="left" w:pos="1134" w:leader="none"/>
        </w:tabs>
        <w:ind w:left="0" w:firstLine="709"/>
        <w:rPr/>
      </w:pPr>
      <w:r>
        <w:rPr/>
        <w:t xml:space="preserve">внедрения технологии биологической очистки сточных вод с глубоким удалением азота, при которой будет обеспечена степень очистки сточных вод до нормативных параметров; </w:t>
      </w:r>
    </w:p>
    <w:p>
      <w:pPr>
        <w:pStyle w:val="ListParagraph"/>
        <w:numPr>
          <w:ilvl w:val="0"/>
          <w:numId w:val="2"/>
        </w:numPr>
        <w:tabs>
          <w:tab w:val="clear" w:pos="993"/>
          <w:tab w:val="left" w:pos="1134" w:leader="none"/>
        </w:tabs>
        <w:ind w:left="0" w:firstLine="709"/>
        <w:rPr/>
      </w:pPr>
      <w:r>
        <w:rPr/>
        <w:t xml:space="preserve">внедрения системы реагентного удаления фосфора со строительством здания реагентного хозяйства, при которой проектируемые очистные сооружения обеспечат степень очистки сточных вод по фосфатам до нормативных параметров; </w:t>
      </w:r>
    </w:p>
    <w:p>
      <w:pPr>
        <w:pStyle w:val="ListParagraph"/>
        <w:numPr>
          <w:ilvl w:val="0"/>
          <w:numId w:val="2"/>
        </w:numPr>
        <w:tabs>
          <w:tab w:val="clear" w:pos="993"/>
          <w:tab w:val="left" w:pos="1134" w:leader="none"/>
        </w:tabs>
        <w:ind w:left="0" w:firstLine="709"/>
        <w:rPr/>
      </w:pPr>
      <w:r>
        <w:rPr/>
        <w:t xml:space="preserve">реконструкции существующих вторичных отстойников с заменой физически и морально изношенного технологического оборудования и внедрением системы фильтрационной доочистки биологически очищенных сточных вод.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Необходимость выполнения данной работы</w:t>
      </w:r>
      <w:r>
        <w:rPr>
          <w:rFonts w:cs="Times New Roman" w:ascii="Times New Roman" w:hAnsi="Times New Roman"/>
          <w:sz w:val="24"/>
          <w:szCs w:val="24"/>
        </w:rPr>
        <w:t xml:space="preserve"> обусловлена следующими требованиями:  </w:t>
      </w:r>
    </w:p>
    <w:p>
      <w:pPr>
        <w:pStyle w:val="ListParagraph"/>
        <w:numPr>
          <w:ilvl w:val="0"/>
          <w:numId w:val="2"/>
        </w:numPr>
        <w:tabs>
          <w:tab w:val="clear" w:pos="993"/>
          <w:tab w:val="left" w:pos="1134" w:leader="none"/>
        </w:tabs>
        <w:ind w:left="0" w:firstLine="709"/>
        <w:rPr/>
      </w:pPr>
      <w:r>
        <w:rPr/>
        <w:t xml:space="preserve">требованиями законодательства доведения показателей загрязнений на выпуске до утвержденных нормативов сброса в водоемы рыбохозяйственного значения и технологических показателей наилучших доступных технологий; </w:t>
      </w:r>
    </w:p>
    <w:p>
      <w:pPr>
        <w:pStyle w:val="ListParagraph"/>
        <w:numPr>
          <w:ilvl w:val="0"/>
          <w:numId w:val="2"/>
        </w:numPr>
        <w:tabs>
          <w:tab w:val="clear" w:pos="993"/>
          <w:tab w:val="left" w:pos="1134" w:leader="none"/>
        </w:tabs>
        <w:ind w:left="0" w:firstLine="709"/>
        <w:rPr/>
      </w:pPr>
      <w:r>
        <w:rPr/>
        <w:t>требованиями законодательства созданием системы автоматического контроля выбросов и сбросов;</w:t>
      </w:r>
    </w:p>
    <w:p>
      <w:pPr>
        <w:pStyle w:val="ListParagraph"/>
        <w:numPr>
          <w:ilvl w:val="0"/>
          <w:numId w:val="2"/>
        </w:numPr>
        <w:tabs>
          <w:tab w:val="clear" w:pos="993"/>
          <w:tab w:val="left" w:pos="1134" w:leader="none"/>
        </w:tabs>
        <w:ind w:left="0" w:firstLine="709"/>
        <w:rPr/>
      </w:pPr>
      <w:r>
        <w:rPr/>
        <w:t xml:space="preserve">необходимостью установки оборудования для нейтрализации вредных выбросов; </w:t>
      </w:r>
    </w:p>
    <w:p>
      <w:pPr>
        <w:pStyle w:val="ListParagraph"/>
        <w:numPr>
          <w:ilvl w:val="0"/>
          <w:numId w:val="2"/>
        </w:numPr>
        <w:tabs>
          <w:tab w:val="clear" w:pos="993"/>
          <w:tab w:val="left" w:pos="1134" w:leader="none"/>
        </w:tabs>
        <w:ind w:left="0" w:firstLine="709"/>
        <w:rPr/>
      </w:pPr>
      <w:r>
        <w:rPr/>
        <w:t>актуализации принятых технологических решений и уточнение используемого оборудования.</w:t>
      </w:r>
    </w:p>
    <w:p>
      <w:pPr>
        <w:pStyle w:val="Default"/>
        <w:ind w:firstLine="709"/>
        <w:jc w:val="both"/>
        <w:rPr>
          <w:bCs/>
        </w:rPr>
      </w:pPr>
      <w:r>
        <w:rPr>
          <w:rFonts w:eastAsia="TimesNewRoman"/>
          <w:b/>
          <w:i/>
        </w:rPr>
        <w:t>Альтернативы намечаемой деятельности</w:t>
      </w:r>
      <w:r>
        <w:rPr>
          <w:rFonts w:eastAsia="TimesNewRoman"/>
        </w:rPr>
        <w:t xml:space="preserve"> определяются использованием различных методов очистки сточных вод. При подготовке проектной документации </w:t>
      </w:r>
      <w:r>
        <w:rPr/>
        <w:t>ООО «Гипрокоммунводоканл. СПБ» был разработан «</w:t>
      </w:r>
      <w:r>
        <w:rPr>
          <w:bCs/>
        </w:rPr>
        <w:t>Технологический регламент проектирования» в котором проведены расчеты работы сооружений биологической очистки ГОСК г. Самары, проведен сравнительный анализ возможных технологий биологической очистки сточных вод исходя из их состава и объема различной обеспеченности, показана необходимость и обоснован метод доочистки сточных вод от фосфатов. Итогом работы явилась разработка обоснованных проектных решений по реконструкции ГОСК г. Самары, реализованных в соответствующей проектной документации. Необходимость и достаточность предлагаемого комплекса мероприятий по реконструкции существующих и строительству дополнительных объектов с учетом принятых технологических решений по очистке сточных вод подтверждена математическим моделированием работы ГОСК г. Самары при различных режимах их функционирования.</w:t>
      </w:r>
    </w:p>
    <w:p>
      <w:pPr>
        <w:pStyle w:val="Default"/>
        <w:ind w:firstLine="709"/>
        <w:jc w:val="both"/>
        <w:rPr>
          <w:bCs/>
        </w:rPr>
      </w:pPr>
      <w:r>
        <w:rPr>
          <w:b/>
          <w:bCs/>
          <w:i/>
        </w:rPr>
        <w:t>Сроки осуществления</w:t>
      </w:r>
      <w:r>
        <w:rPr>
          <w:bCs/>
        </w:rPr>
        <w:t xml:space="preserve"> проекта составляют:</w:t>
      </w:r>
    </w:p>
    <w:p>
      <w:pPr>
        <w:pStyle w:val="Default"/>
        <w:ind w:firstLine="709"/>
        <w:jc w:val="both"/>
        <w:rPr>
          <w:bCs/>
        </w:rPr>
      </w:pPr>
      <w:r>
        <w:rPr>
          <w:bCs/>
          <w:lang w:val="en-GB"/>
        </w:rPr>
        <w:t>I</w:t>
      </w:r>
      <w:r>
        <w:rPr>
          <w:bCs/>
        </w:rPr>
        <w:t xml:space="preserve"> этап – 16 месяцев (в том числе подготовительный период 2 месяца);</w:t>
      </w:r>
    </w:p>
    <w:p>
      <w:pPr>
        <w:pStyle w:val="Default"/>
        <w:ind w:firstLine="709"/>
        <w:jc w:val="both"/>
        <w:rPr>
          <w:bCs/>
        </w:rPr>
      </w:pPr>
      <w:r>
        <w:rPr>
          <w:bCs/>
          <w:lang w:val="en-GB"/>
        </w:rPr>
        <w:t>II</w:t>
      </w:r>
      <w:r>
        <w:rPr>
          <w:bCs/>
        </w:rPr>
        <w:t xml:space="preserve"> – 22месяца (в том числе подготовительный период 2 месяца);</w:t>
      </w:r>
    </w:p>
    <w:p>
      <w:pPr>
        <w:pStyle w:val="Default"/>
        <w:ind w:firstLine="709"/>
        <w:jc w:val="both"/>
        <w:rPr>
          <w:bCs/>
        </w:rPr>
      </w:pPr>
      <w:r>
        <w:rPr>
          <w:bCs/>
          <w:lang w:val="en-GB"/>
        </w:rPr>
        <w:t>III</w:t>
      </w:r>
      <w:r>
        <w:rPr>
          <w:bCs/>
        </w:rPr>
        <w:t xml:space="preserve"> – 12 месяцев (в том числе подготовительный период 2 месяца).</w:t>
      </w:r>
    </w:p>
    <w:p>
      <w:pPr>
        <w:pStyle w:val="Default"/>
        <w:ind w:firstLine="709"/>
        <w:jc w:val="both"/>
        <w:rPr>
          <w:bCs/>
        </w:rPr>
      </w:pPr>
      <w:r>
        <w:rPr>
          <w:b/>
          <w:bCs/>
          <w:i/>
        </w:rPr>
        <w:t>Место размещения объекта</w:t>
      </w:r>
      <w:r>
        <w:rPr>
          <w:bCs/>
        </w:rPr>
        <w:t>: проектируемые объекты расположены на площадке действующего комплекса ГОКС г. Самары по адресу: Самарская область, Куйбышевский район, ул. Обувная, 136. Изъятие земельных участков во временное (на период строительства) и (или) постоянное использование, проектной документацией не предусмотрено.</w:t>
      </w:r>
    </w:p>
    <w:p>
      <w:pPr>
        <w:pStyle w:val="Default"/>
        <w:ind w:firstLine="709"/>
        <w:jc w:val="both"/>
        <w:rPr>
          <w:b/>
          <w:b/>
          <w:i/>
          <w:i/>
        </w:rPr>
      </w:pPr>
      <w:r>
        <w:rPr>
          <w:b/>
          <w:bCs/>
          <w:i/>
        </w:rPr>
        <w:t>Потребности в земельных ресурсах</w:t>
      </w:r>
      <w:r>
        <w:rPr>
          <w:bCs/>
        </w:rPr>
        <w:t xml:space="preserve">. Общая площадь в границах проектирования составляет 8,12 га. </w:t>
      </w:r>
      <w:r>
        <w:rPr/>
        <w:t>Основные технико-экономические показатели по генплану представлены в таблице.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Основные технико-экономические показатели участков</w:t>
      </w:r>
    </w:p>
    <w:tbl>
      <w:tblPr>
        <w:tblW w:w="962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86"/>
        <w:gridCol w:w="992"/>
        <w:gridCol w:w="1132"/>
        <w:gridCol w:w="1335"/>
        <w:gridCol w:w="1383"/>
      </w:tblGrid>
      <w:tr>
        <w:trPr/>
        <w:tc>
          <w:tcPr>
            <w:tcW w:w="4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Площадь, м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>
        <w:trPr/>
        <w:tc>
          <w:tcPr>
            <w:tcW w:w="47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New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New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New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Площадь в граница проектирования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15115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43560,3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22514,0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81189,3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New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Площадь застройки зданий и сооружений, </w:t>
              <w:br/>
              <w:t>в т.ч.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3887,5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42053,8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21088,0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67029,3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New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существующих сооружений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2590,8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42017,8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20576,0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65184,6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New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проектируемых сооружений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1296,7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512,0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1844,7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New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Площадь асфальтобетонного покрытия </w:t>
              <w:br/>
              <w:t xml:space="preserve">проездов, в т.ч.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1028,7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149,1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1301,0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2478,8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реконструируемого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555,0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eastAsia="TimesNew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eastAsia="TimesNew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555,0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проектируемого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473,7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eastAsia="TimesNew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eastAsia="TimesNew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473,7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Площадь щебеночного покрытия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1057,8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28,2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eastAsia="TimesNewRoman" w:cs="Times New Roman" w:ascii="Times New Roman" w:hAnsi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1099,0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Площадь укрепления откосов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eastAsia="TimesNew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eastAsia="TimesNew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2600,0</w:t>
            </w:r>
          </w:p>
        </w:tc>
      </w:tr>
      <w:tr>
        <w:trPr/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Площадь отмосток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107,1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29,2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New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248,3</w:t>
            </w:r>
          </w:p>
        </w:tc>
      </w:tr>
    </w:tbl>
    <w:p>
      <w:pPr>
        <w:pStyle w:val="Default"/>
        <w:jc w:val="both"/>
        <w:rPr>
          <w:bCs/>
        </w:rPr>
      </w:pPr>
      <w:r>
        <w:rPr>
          <w:bCs/>
        </w:rPr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 xml:space="preserve">Водо-, энерго-, и теплоснабжение проектируемых объектов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Источником водоснабжения проектируемых объектов для хозяйственно-питьевых и технологических нужд является внутриплощадочная сеть объединенного противопожарного и хозяйственно-питьевого водопровода.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Источником электроснабжения зданий решеток, песколовок и песковых бункеров 1 очередей является трансформаторные подстанции ГОКС ТП-1 и ТП-2.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Источником теплоснабжения зданий решеток и зданий песковых бункеров I и II очередей является существующая котельная, расположенная на территории городских очистных канализационных сооружений. Теплоносителем служит горячая вода с температурой 90-70 °С 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Баланс водопотребления и водоотведения проектируемых объектов </w:t>
      </w:r>
      <w:r>
        <w:rPr>
          <w:rFonts w:cs="Times New Roman" w:ascii="Times New Roman" w:hAnsi="Times New Roman"/>
          <w:sz w:val="24"/>
          <w:szCs w:val="24"/>
          <w:lang w:val="en-US"/>
        </w:rPr>
        <w:t>I</w:t>
      </w:r>
      <w:r>
        <w:rPr>
          <w:rFonts w:cs="Times New Roman" w:ascii="Times New Roman" w:hAnsi="Times New Roman"/>
          <w:sz w:val="24"/>
          <w:szCs w:val="24"/>
        </w:rPr>
        <w:t xml:space="preserve"> этапа представлен в таблице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Баланс водопотребления и водоотведения проектируемых объектов </w:t>
      </w:r>
      <w:r>
        <w:rPr>
          <w:rFonts w:cs="Times New Roman" w:ascii="Times New Roman" w:hAnsi="Times New Roman"/>
          <w:sz w:val="24"/>
          <w:szCs w:val="24"/>
          <w:lang w:val="en-US"/>
        </w:rPr>
        <w:t>I</w:t>
      </w:r>
      <w:r>
        <w:rPr>
          <w:rFonts w:cs="Times New Roman" w:ascii="Times New Roman" w:hAnsi="Times New Roman"/>
          <w:sz w:val="24"/>
          <w:szCs w:val="24"/>
        </w:rPr>
        <w:t xml:space="preserve"> этапа</w:t>
      </w:r>
    </w:p>
    <w:tbl>
      <w:tblPr>
        <w:tblStyle w:val="a5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01"/>
        <w:gridCol w:w="1275"/>
        <w:gridCol w:w="709"/>
        <w:gridCol w:w="709"/>
        <w:gridCol w:w="850"/>
        <w:gridCol w:w="709"/>
        <w:gridCol w:w="710"/>
        <w:gridCol w:w="849"/>
        <w:gridCol w:w="958"/>
      </w:tblGrid>
      <w:tr>
        <w:trPr/>
        <w:tc>
          <w:tcPr>
            <w:tcW w:w="2801" w:type="dxa"/>
            <w:vMerge w:val="restart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</w:t>
            </w:r>
          </w:p>
        </w:tc>
        <w:tc>
          <w:tcPr>
            <w:tcW w:w="1275" w:type="dxa"/>
            <w:vMerge w:val="restart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Потребный напор, м</w:t>
            </w:r>
          </w:p>
        </w:tc>
        <w:tc>
          <w:tcPr>
            <w:tcW w:w="2268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Водопотребление</w:t>
            </w:r>
          </w:p>
        </w:tc>
        <w:tc>
          <w:tcPr>
            <w:tcW w:w="2268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Водоотведение</w:t>
            </w:r>
          </w:p>
        </w:tc>
        <w:tc>
          <w:tcPr>
            <w:tcW w:w="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Безвозвратные потери</w:t>
            </w:r>
          </w:p>
        </w:tc>
      </w:tr>
      <w:tr>
        <w:trPr/>
        <w:tc>
          <w:tcPr>
            <w:tcW w:w="280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л/с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</w:t>
            </w:r>
            <w:r>
              <w:rPr>
                <w:rFonts w:cs="Times New Roman" w:ascii="Times New Roman" w:hAnsi="Times New Roman"/>
                <w:vertAlign w:val="superscript"/>
              </w:rPr>
              <w:t>3</w:t>
            </w:r>
            <w:r>
              <w:rPr>
                <w:rFonts w:cs="Times New Roman" w:ascii="Times New Roman" w:hAnsi="Times New Roman"/>
              </w:rPr>
              <w:t>/ч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</w:t>
            </w:r>
            <w:r>
              <w:rPr>
                <w:rFonts w:cs="Times New Roman" w:ascii="Times New Roman" w:hAnsi="Times New Roman"/>
                <w:vertAlign w:val="superscript"/>
              </w:rPr>
              <w:t>3</w:t>
            </w:r>
            <w:r>
              <w:rPr>
                <w:rFonts w:cs="Times New Roman" w:ascii="Times New Roman" w:hAnsi="Times New Roman"/>
              </w:rPr>
              <w:t>/сут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л/с</w:t>
            </w:r>
          </w:p>
        </w:tc>
        <w:tc>
          <w:tcPr>
            <w:tcW w:w="7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</w:t>
            </w:r>
            <w:r>
              <w:rPr>
                <w:rFonts w:cs="Times New Roman" w:ascii="Times New Roman" w:hAnsi="Times New Roman"/>
                <w:vertAlign w:val="superscript"/>
              </w:rPr>
              <w:t>3</w:t>
            </w:r>
            <w:r>
              <w:rPr>
                <w:rFonts w:cs="Times New Roman" w:ascii="Times New Roman" w:hAnsi="Times New Roman"/>
              </w:rPr>
              <w:t>/ч</w:t>
            </w:r>
          </w:p>
        </w:tc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</w:t>
            </w:r>
            <w:r>
              <w:rPr>
                <w:rFonts w:cs="Times New Roman" w:ascii="Times New Roman" w:hAnsi="Times New Roman"/>
                <w:vertAlign w:val="superscript"/>
              </w:rPr>
              <w:t>3</w:t>
            </w:r>
            <w:r>
              <w:rPr>
                <w:rFonts w:cs="Times New Roman" w:ascii="Times New Roman" w:hAnsi="Times New Roman"/>
              </w:rPr>
              <w:t>/сут</w:t>
            </w:r>
          </w:p>
        </w:tc>
        <w:tc>
          <w:tcPr>
            <w:tcW w:w="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</w:t>
            </w:r>
            <w:r>
              <w:rPr>
                <w:rFonts w:cs="Times New Roman" w:ascii="Times New Roman" w:hAnsi="Times New Roman"/>
                <w:vertAlign w:val="superscript"/>
              </w:rPr>
              <w:t>3</w:t>
            </w:r>
            <w:r>
              <w:rPr>
                <w:rFonts w:cs="Times New Roman" w:ascii="Times New Roman" w:hAnsi="Times New Roman"/>
              </w:rPr>
              <w:t>/сут</w:t>
            </w:r>
          </w:p>
        </w:tc>
      </w:tr>
      <w:tr>
        <w:trPr/>
        <w:tc>
          <w:tcPr>
            <w:tcW w:w="28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Холодное водоснабжение, в т.ч.: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3,44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4,56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22,344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8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 на хоз.-питьевые нужды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0,44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0,16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0,12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8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 на технологические нужды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40,0-60,0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4,4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22,0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8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 на полив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–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–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0,224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8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Наружное пожаротушение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10,0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10,0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–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–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8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Канализация, в т.ч: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–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–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–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–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6,64</w:t>
            </w:r>
          </w:p>
        </w:tc>
        <w:tc>
          <w:tcPr>
            <w:tcW w:w="7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4,56</w:t>
            </w:r>
          </w:p>
        </w:tc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22,12</w:t>
            </w:r>
          </w:p>
        </w:tc>
        <w:tc>
          <w:tcPr>
            <w:tcW w:w="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8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 хоз.-быт. канализация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–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–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–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3,64</w:t>
            </w:r>
          </w:p>
        </w:tc>
        <w:tc>
          <w:tcPr>
            <w:tcW w:w="7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0,16</w:t>
            </w:r>
          </w:p>
        </w:tc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0,12</w:t>
            </w:r>
          </w:p>
        </w:tc>
        <w:tc>
          <w:tcPr>
            <w:tcW w:w="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8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 производственная канализация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–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–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–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</w:t>
            </w:r>
          </w:p>
        </w:tc>
        <w:tc>
          <w:tcPr>
            <w:tcW w:w="7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4,4</w:t>
            </w:r>
          </w:p>
        </w:tc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22,0</w:t>
            </w:r>
          </w:p>
        </w:tc>
        <w:tc>
          <w:tcPr>
            <w:tcW w:w="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28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0,224</w:t>
            </w:r>
          </w:p>
        </w:tc>
      </w:tr>
    </w:tbl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Водопотребление для объектов </w:t>
      </w:r>
      <w:r>
        <w:rPr>
          <w:rFonts w:cs="Times New Roman" w:ascii="Times New Roman" w:hAnsi="Times New Roman"/>
          <w:sz w:val="24"/>
          <w:szCs w:val="24"/>
          <w:lang w:val="en-US"/>
        </w:rPr>
        <w:t>II</w:t>
      </w:r>
      <w:r>
        <w:rPr>
          <w:rFonts w:cs="Times New Roman" w:ascii="Times New Roman" w:hAnsi="Times New Roman"/>
          <w:sz w:val="24"/>
          <w:szCs w:val="24"/>
        </w:rPr>
        <w:t xml:space="preserve"> этапа не требуется.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объектов </w:t>
      </w:r>
      <w:r>
        <w:rPr>
          <w:rFonts w:cs="Times New Roman" w:ascii="Times New Roman" w:hAnsi="Times New Roman"/>
          <w:sz w:val="24"/>
          <w:szCs w:val="24"/>
          <w:lang w:val="en-US"/>
        </w:rPr>
        <w:t>III</w:t>
      </w:r>
      <w:r>
        <w:rPr>
          <w:rFonts w:cs="Times New Roman" w:ascii="Times New Roman" w:hAnsi="Times New Roman"/>
          <w:sz w:val="24"/>
          <w:szCs w:val="24"/>
        </w:rPr>
        <w:t xml:space="preserve"> этапа предполагаются следующие объемы водопотребления:</w:t>
      </w:r>
    </w:p>
    <w:p>
      <w:pPr>
        <w:pStyle w:val="ListParagraph"/>
        <w:numPr>
          <w:ilvl w:val="0"/>
          <w:numId w:val="3"/>
        </w:numPr>
        <w:ind w:left="993" w:hanging="295"/>
        <w:jc w:val="left"/>
        <w:rPr>
          <w:rFonts w:eastAsia="Calibri" w:eastAsiaTheme="minorHAnsi"/>
          <w:color w:val="000000"/>
        </w:rPr>
      </w:pPr>
      <w:r>
        <w:rPr>
          <w:rFonts w:eastAsia="Calibri" w:eastAsiaTheme="minorHAnsi"/>
          <w:color w:val="000000"/>
        </w:rPr>
        <w:t>Вода из сети противопожарного водопровода (периодически во время пожара) – 10л/с.</w:t>
      </w:r>
    </w:p>
    <w:p>
      <w:pPr>
        <w:pStyle w:val="ListParagraph"/>
        <w:numPr>
          <w:ilvl w:val="0"/>
          <w:numId w:val="3"/>
        </w:numPr>
        <w:ind w:left="993" w:hanging="295"/>
        <w:rPr/>
      </w:pPr>
      <w:r>
        <w:rPr>
          <w:rFonts w:eastAsia="Calibri" w:eastAsiaTheme="minorHAnsi"/>
          <w:color w:val="000000"/>
        </w:rPr>
        <w:t>Вода техническая из сети технического водопровода 13,4 м</w:t>
      </w:r>
      <w:r>
        <w:rPr>
          <w:rFonts w:eastAsia="Calibri" w:eastAsiaTheme="minorHAnsi"/>
          <w:color w:val="000000"/>
          <w:vertAlign w:val="superscript"/>
        </w:rPr>
        <w:t>3</w:t>
      </w:r>
      <w:r>
        <w:rPr>
          <w:rFonts w:eastAsia="Calibri" w:eastAsiaTheme="minorHAnsi"/>
          <w:color w:val="000000"/>
        </w:rPr>
        <w:t>/сут 3760 м</w:t>
      </w:r>
      <w:r>
        <w:rPr>
          <w:rFonts w:eastAsia="Calibri" w:eastAsiaTheme="minorHAnsi"/>
          <w:color w:val="000000"/>
          <w:vertAlign w:val="superscript"/>
        </w:rPr>
        <w:t>3</w:t>
      </w:r>
      <w:r>
        <w:rPr>
          <w:rFonts w:eastAsia="Calibri" w:eastAsiaTheme="minorHAnsi"/>
          <w:color w:val="000000"/>
        </w:rPr>
        <w:t>/год.</w:t>
      </w:r>
    </w:p>
    <w:p>
      <w:pPr>
        <w:pStyle w:val="Default"/>
        <w:ind w:firstLine="709"/>
        <w:jc w:val="both"/>
        <w:rPr>
          <w:bCs/>
        </w:rPr>
      </w:pPr>
      <w:r>
        <w:rPr>
          <w:bCs/>
        </w:rPr>
      </w:r>
    </w:p>
    <w:p>
      <w:pPr>
        <w:pStyle w:val="Default"/>
        <w:ind w:firstLine="709"/>
        <w:jc w:val="both"/>
        <w:rPr>
          <w:b/>
          <w:b/>
          <w:bCs/>
        </w:rPr>
      </w:pPr>
      <w:r>
        <w:rPr>
          <w:b/>
          <w:bCs/>
        </w:rPr>
        <w:t>2. Сведения об объекте экологической экспертизы</w:t>
      </w:r>
    </w:p>
    <w:p>
      <w:pPr>
        <w:pStyle w:val="Default"/>
        <w:ind w:firstLine="709"/>
        <w:jc w:val="both"/>
        <w:rPr>
          <w:bCs/>
        </w:rPr>
      </w:pPr>
      <w:r>
        <w:rPr>
          <w:bCs/>
        </w:rPr>
      </w:r>
    </w:p>
    <w:p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Объектом экологической экспертизы является проектная документация объектов капитального строительства, относящихся в соответствии с законодательством в области охраны окружающей среды к объектам I категории, согласно п. 7.5 ст. 11 Федерального закона «Об экологической экспертизе от 23.11.1995 N 174-ФЗ. </w:t>
      </w:r>
    </w:p>
    <w:p>
      <w:pPr>
        <w:pStyle w:val="Default"/>
        <w:ind w:firstLine="709"/>
        <w:jc w:val="both"/>
        <w:rPr>
          <w:bCs/>
        </w:rPr>
      </w:pPr>
      <w:r>
        <w:rPr/>
        <w:t>В соответствии с Постановлением Правительства РФ от 28.09.2015 г. №1029 «Об утверждении критериев отнесения объектов, оказывающих негативное воздействие на окружающую среду, к объектам I, II, III и IV категорий» ГОКС г. Самары относится к объектам I категории (п.1 р) – «осуществление хозяйственной деятельности по сбору и обработке сточных вод в части, касающейся очистки сточных вод централизованных систем водоотведения (канализации) (с объемом 20 тыс. куб. м в сутки отводимых сточных вод и более)».</w:t>
      </w:r>
    </w:p>
    <w:p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Состав проектной документации по </w:t>
      </w:r>
      <w:r>
        <w:rPr>
          <w:bCs/>
          <w:lang w:val="en-GB"/>
        </w:rPr>
        <w:t>I</w:t>
      </w:r>
      <w:r>
        <w:rPr>
          <w:bCs/>
        </w:rPr>
        <w:t xml:space="preserve">, </w:t>
      </w:r>
      <w:r>
        <w:rPr>
          <w:bCs/>
          <w:lang w:val="en-GB"/>
        </w:rPr>
        <w:t>II</w:t>
      </w:r>
      <w:r>
        <w:rPr>
          <w:bCs/>
        </w:rPr>
        <w:t xml:space="preserve"> и </w:t>
      </w:r>
      <w:r>
        <w:rPr>
          <w:bCs/>
          <w:lang w:val="en-GB"/>
        </w:rPr>
        <w:t>III</w:t>
      </w:r>
      <w:r>
        <w:rPr>
          <w:bCs/>
        </w:rPr>
        <w:t xml:space="preserve"> этапам проекта прилагается.</w:t>
      </w:r>
    </w:p>
    <w:p>
      <w:pPr>
        <w:pStyle w:val="Default"/>
        <w:ind w:firstLine="709"/>
        <w:jc w:val="both"/>
        <w:rPr>
          <w:bCs/>
        </w:rPr>
      </w:pPr>
      <w:r>
        <w:rPr>
          <w:bCs/>
        </w:rPr>
      </w:r>
    </w:p>
    <w:p>
      <w:pPr>
        <w:pStyle w:val="Default"/>
        <w:ind w:firstLine="709"/>
        <w:jc w:val="both"/>
        <w:rPr>
          <w:b/>
          <w:b/>
          <w:bCs/>
        </w:rPr>
      </w:pPr>
      <w:r>
        <w:rPr>
          <w:b/>
          <w:bCs/>
        </w:rPr>
        <w:t>3. Сведения о возможных воздействиях на окружающую среду, включая объем отходов, наличие источников выбросов и сбросов, использование водных ресурсов, а также о мерах по уменьшению и предотвращению этих воздействия.</w:t>
      </w:r>
    </w:p>
    <w:p>
      <w:pPr>
        <w:pStyle w:val="Default"/>
        <w:ind w:firstLine="709"/>
        <w:jc w:val="both"/>
        <w:rPr>
          <w:bCs/>
        </w:rPr>
      </w:pPr>
      <w:r>
        <w:rPr>
          <w:bCs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Реконструкция ГОКС является природоохранным мероприятием, направленным в первую очередь на снижение негативного воздействия на воды Саратовского водохранилища (р.Волга). Кроме того, проектом предусматривается ряд мероприятий, направленных на уменьшение негативного воздействия выбросов в атмосферный воздух и обращения с отходами производства. Реализация проекта в пределах существующей промплощадки ГОКС г. Самары исключает какие-либо значимые воздействия на геологическую среду, почвенный и растительный покров и животный мир.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Воздействие на атмосферный воздух.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результате реализации проекта количество источников загрязнения и интенсивность выделения загрязняющих веществ в воздушный бассейн не изменятся. Согласно расчетам выбросов загрязняющих веществ и их рассеивания в атмосферном воздухе превышений установленных нормативов на границе территорий с нормируемыми показателями качества атмосферного воздуха не произойдет. Изменения утвержденной границы санитарно-защитной зоны не потребуется. На период эксплуатации предусмотрены следующие мероприятия по охране атмосферного воздуха: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Оснащение здания приемных камер с лотками Паршаля, решеток, песколовок установками воздухоочистки ВЕНТЛИТ-10000-2А11 и ВЕНТЛИТ-8000-2А11.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Контроль и автоматизация технологических процессов для предупреждения аварийных ситуаций, соответственно уменьшения выбросов вредных веществ в атмосферу за счет точного соблюдения заданных технологических параметров.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Воздействие на природные воды.</w:t>
      </w:r>
    </w:p>
    <w:p>
      <w:pPr>
        <w:pStyle w:val="Default"/>
        <w:ind w:firstLine="709"/>
        <w:jc w:val="both"/>
        <w:rPr>
          <w:bCs/>
        </w:rPr>
      </w:pPr>
      <w:r>
        <w:rPr>
          <w:bCs/>
        </w:rPr>
        <w:t>Проект направлен на уменьшение поступления загрязняющих веществ в Саратовское водохранилище (р. Волга) за счет более эффективной очистки городских сточных вод. Сравнительный анализ качества сточных вод, сбрасываемых в настоящее время и после реализации проекта показывает, что произойдет уменьшение содержания органических веществ по ХПК – в 1,3 раза, БПК – в 2,1 раза, взвешенных веществ – в 1,9 раза, фосфатов – в 11,5 раза, азота общего – в 5,5 раза, азота аммонийного – в 15,4 раза (см. таблицу).</w:t>
      </w:r>
    </w:p>
    <w:p>
      <w:pPr>
        <w:pStyle w:val="Style20"/>
        <w:spacing w:lineRule="auto" w:line="240"/>
        <w:ind w:hanging="0"/>
        <w:jc w:val="center"/>
        <w:rPr>
          <w:rFonts w:cs="Times New Roman"/>
        </w:rPr>
      </w:pPr>
      <w:r>
        <w:rPr>
          <w:rFonts w:cs="Times New Roman"/>
        </w:rPr>
        <w:t xml:space="preserve">Современные и проектные (после проведения реконструкции) концентрации загрязняющих веществ в очищенных сточных водах ГОКС г. Самары </w:t>
      </w:r>
    </w:p>
    <w:tbl>
      <w:tblPr>
        <w:tblW w:w="9226" w:type="dxa"/>
        <w:jc w:val="left"/>
        <w:tblInd w:w="96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31"/>
        <w:gridCol w:w="2030"/>
        <w:gridCol w:w="2034"/>
        <w:gridCol w:w="2030"/>
      </w:tblGrid>
      <w:tr>
        <w:trPr>
          <w:trHeight w:val="358" w:hRule="atLeast"/>
        </w:trPr>
        <w:tc>
          <w:tcPr>
            <w:tcW w:w="3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Показатели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Среднее за </w:t>
              <w:br/>
              <w:t>2017-2019 гг.</w:t>
            </w:r>
          </w:p>
        </w:tc>
        <w:tc>
          <w:tcPr>
            <w:tcW w:w="4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Проектные</w:t>
            </w:r>
          </w:p>
        </w:tc>
      </w:tr>
      <w:tr>
        <w:trPr>
          <w:trHeight w:val="345" w:hRule="atLeast"/>
        </w:trPr>
        <w:tc>
          <w:tcPr>
            <w:tcW w:w="3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0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108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08" w:firstLine="108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После биол. очистки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22" w:right="-82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После доочистки</w:t>
            </w:r>
          </w:p>
        </w:tc>
      </w:tr>
      <w:tr>
        <w:trPr>
          <w:trHeight w:val="345" w:hRule="atLeast"/>
        </w:trPr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Взвешенные вещества, мг/л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6,2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14,5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3,3</w:t>
            </w:r>
          </w:p>
        </w:tc>
      </w:tr>
      <w:tr>
        <w:trPr>
          <w:trHeight w:val="345" w:hRule="atLeast"/>
        </w:trPr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ХПК, мгО/л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27,7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33,2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22</w:t>
            </w:r>
          </w:p>
        </w:tc>
      </w:tr>
      <w:tr>
        <w:trPr>
          <w:trHeight w:val="405" w:hRule="atLeast"/>
        </w:trPr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БПК</w:t>
            </w:r>
            <w:r>
              <w:rPr>
                <w:rFonts w:eastAsia="Times New Roman" w:cs="Times New Roman" w:ascii="Times New Roman" w:hAnsi="Times New Roman"/>
                <w:vertAlign w:val="subscript"/>
                <w:lang w:eastAsia="ru-RU"/>
              </w:rPr>
              <w:t>5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, мгО/л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3,9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4,55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1,85</w:t>
            </w:r>
          </w:p>
        </w:tc>
      </w:tr>
      <w:tr>
        <w:trPr>
          <w:trHeight w:val="345" w:hRule="atLeast"/>
        </w:trPr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Общий азот, мг/л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50,7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9,21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9,21</w:t>
            </w:r>
          </w:p>
        </w:tc>
      </w:tr>
      <w:tr>
        <w:trPr>
          <w:trHeight w:val="345" w:hRule="atLeast"/>
        </w:trPr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75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 том числе </w:t>
            </w:r>
          </w:p>
          <w:p>
            <w:pPr>
              <w:pStyle w:val="Normal"/>
              <w:spacing w:lineRule="auto" w:line="240" w:before="0" w:after="0"/>
              <w:ind w:right="-75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азот аммонийный, мг/л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5,4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0,35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0,35</w:t>
            </w:r>
          </w:p>
        </w:tc>
      </w:tr>
      <w:tr>
        <w:trPr>
          <w:trHeight w:val="345" w:hRule="atLeast"/>
        </w:trPr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Фосфор фосфатов, мг/л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2,3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0,53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0,2</w:t>
            </w:r>
          </w:p>
        </w:tc>
      </w:tr>
    </w:tbl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Потребности в воде для обеспечения функционирования новых и реконструируемых объектов ГОКС ничтожно малы.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i/>
          <w:sz w:val="24"/>
          <w:szCs w:val="24"/>
        </w:rPr>
        <w:t>Обращение с отходами.</w:t>
      </w:r>
    </w:p>
    <w:p>
      <w:pPr>
        <w:pStyle w:val="Ob1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Реализация проекта не несет принципиальных изменений системы обращения с отходами при реализации проектных решений. Образование дополнительных отходов основного производства не ожидается, однако произойдет изменение их количества.</w:t>
      </w:r>
    </w:p>
    <w:p>
      <w:pPr>
        <w:pStyle w:val="Ob1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Так строительство зданий решеток I и II очереди с установкой решеток тонкой очистки приведет к увеличению количества отхода «Мусор с защитных решеток хозяйственно-бытовой и смешанной канализации малоопасный» с 580 т/год до 2240.2083 т/год.</w:t>
      </w:r>
    </w:p>
    <w:p>
      <w:pPr>
        <w:pStyle w:val="Ob1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Строительство зданий песковых бункеров I и II очереди с установкой сепараторов для обезвоживания осадка с песколовок до 20 % приведет к уменьшению количества отхода «Осадок с песколовок при очистке хозяйственно-бытовых и смешанных сточных вод малоопасный» с 15336.163 т/год до 7461.050 т/год.</w:t>
      </w:r>
    </w:p>
    <w:p>
      <w:pPr>
        <w:pStyle w:val="Ob1"/>
        <w:spacing w:lineRule="auto" w:line="240"/>
        <w:rPr>
          <w:rFonts w:eastAsia="Calibri" w:eastAsiaTheme="minorHAnsi"/>
          <w:color w:val="000000"/>
          <w:sz w:val="24"/>
          <w:szCs w:val="24"/>
        </w:rPr>
      </w:pPr>
      <w:r>
        <w:rPr>
          <w:sz w:val="24"/>
          <w:szCs w:val="24"/>
        </w:rPr>
        <w:t>В результате реализации проектных решений ожидается незначительно (на 1,8 %) увеличение количества отхода «Ил избыточный биологических очистных сооружений в смеси с осадком механической очистки хозяйственно-бытовых и смешанных сточных вод». Дополнительный прирост, равный 2231.975 т/год, связан, с</w:t>
      </w:r>
      <w:r>
        <w:rPr>
          <w:rFonts w:eastAsia="Calibri" w:eastAsiaTheme="minorHAnsi"/>
          <w:color w:val="000000"/>
          <w:sz w:val="24"/>
          <w:szCs w:val="24"/>
        </w:rPr>
        <w:t xml:space="preserve"> внедрением реагентной доочистки сточных вод и реконструкцией вторичных отстойников с установкой на их выходе фильтров с плавающей загрузкой, которые будут задерживать взвешенные вещества (активный ил).</w:t>
      </w:r>
    </w:p>
    <w:p>
      <w:pPr>
        <w:pStyle w:val="Ob1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Кроме того, произойдет образование новых видов отходов потребления. Так реконструкция сооружений доочистки и ввод в эксплуатацию здания реагентного хозяйства приведут к образованию отходов, связанных с приготовлением раствора реагента – «Отходы бумаги и мешки бумажные с полиэтиленовым слоем незагрязненные» и «Фильтры полипропиленовые, утратившие потребительские свойства, незагрязненные». Использование для внутреннего освещения вновь проектируемых и реконструируемых зданий и сооружений светодиодных ламп и ламп накаливания приведет к образованию соответствующих новых наименований отходов. Изменение площади уборки территории предприятия за счет проектирования новых проездов с асфальтобетонным покрытием приведет к увеличению количества отхода «Смет с территории предприятия малоопасный».</w:t>
      </w:r>
    </w:p>
    <w:p>
      <w:pPr>
        <w:pStyle w:val="Ob1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Ob1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hanging="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ind w:left="3905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8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23c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60012c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semiHidden/>
    <w:unhideWhenUsed/>
    <w:rsid w:val="0060012c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60012c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Ob" w:customStyle="1">
    <w:name w:val="Ob Знак"/>
    <w:link w:val="Ob"/>
    <w:uiPriority w:val="99"/>
    <w:qFormat/>
    <w:locked/>
    <w:rsid w:val="00ca5766"/>
    <w:rPr>
      <w:rFonts w:ascii="Times New Roman" w:hAnsi="Times New Roman" w:eastAsia="Times New Roman" w:cs="Times New Roman"/>
      <w:sz w:val="26"/>
      <w:szCs w:val="2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501d83"/>
    <w:pPr>
      <w:tabs>
        <w:tab w:val="clear" w:pos="708"/>
        <w:tab w:val="left" w:pos="993" w:leader="none"/>
      </w:tabs>
      <w:spacing w:lineRule="auto" w:line="240" w:before="0" w:after="0"/>
      <w:contextualSpacing/>
      <w:jc w:val="both"/>
    </w:pPr>
    <w:rPr>
      <w:rFonts w:ascii="Times New Roman" w:hAnsi="Times New Roman" w:eastAsia="TimesNewRoman" w:cs="Times New Roman"/>
      <w:sz w:val="24"/>
      <w:szCs w:val="24"/>
    </w:rPr>
  </w:style>
  <w:style w:type="paragraph" w:styleId="Default" w:customStyle="1">
    <w:name w:val="Default"/>
    <w:qFormat/>
    <w:rsid w:val="00f45419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Ob1" w:customStyle="1">
    <w:name w:val="Ob"/>
    <w:basedOn w:val="Normal"/>
    <w:link w:val="Ob0"/>
    <w:uiPriority w:val="99"/>
    <w:qFormat/>
    <w:rsid w:val="00ca5766"/>
    <w:pPr>
      <w:widowControl w:val="false"/>
      <w:spacing w:lineRule="auto" w:line="312" w:before="0" w:after="0"/>
      <w:ind w:firstLine="709"/>
      <w:jc w:val="both"/>
    </w:pPr>
    <w:rPr>
      <w:rFonts w:ascii="Times New Roman" w:hAnsi="Times New Roman" w:eastAsia="Times New Roman" w:cs="Times New Roman"/>
      <w:sz w:val="26"/>
      <w:szCs w:val="20"/>
    </w:rPr>
  </w:style>
  <w:style w:type="paragraph" w:styleId="ListNumber">
    <w:name w:val="List Number"/>
    <w:basedOn w:val="Normal"/>
    <w:qFormat/>
    <w:rsid w:val="00ca5766"/>
    <w:pPr>
      <w:spacing w:lineRule="auto" w:line="240" w:before="0" w:after="0"/>
      <w:ind w:left="0" w:hanging="0"/>
      <w:jc w:val="center"/>
    </w:pPr>
    <w:rPr>
      <w:rFonts w:ascii="Times New Roman" w:hAnsi="Times New Roman" w:eastAsia="Times New Roman" w:cs="Times New Roman"/>
      <w:sz w:val="28"/>
      <w:szCs w:val="20"/>
    </w:rPr>
  </w:style>
  <w:style w:type="paragraph" w:styleId="Style19" w:customStyle="1">
    <w:name w:val="Обычный (после таблиц)"/>
    <w:basedOn w:val="Normal"/>
    <w:next w:val="Normal"/>
    <w:autoRedefine/>
    <w:uiPriority w:val="99"/>
    <w:qFormat/>
    <w:rsid w:val="00ca5766"/>
    <w:pPr>
      <w:tabs>
        <w:tab w:val="clear" w:pos="708"/>
        <w:tab w:val="left" w:pos="993" w:leader="none"/>
      </w:tabs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sz w:val="26"/>
      <w:szCs w:val="26"/>
    </w:rPr>
  </w:style>
  <w:style w:type="paragraph" w:styleId="Style20" w:customStyle="1">
    <w:name w:val="ГКВК"/>
    <w:qFormat/>
    <w:rsid w:val="00b55af2"/>
    <w:pPr>
      <w:widowControl/>
      <w:bidi w:val="0"/>
      <w:spacing w:lineRule="auto" w:line="360" w:before="0" w:after="0"/>
      <w:ind w:firstLine="851"/>
      <w:jc w:val="both"/>
    </w:pPr>
    <w:rPr>
      <w:rFonts w:ascii="Times New Roman" w:hAnsi="Times New Roman" w:eastAsia="Arial Unicode MS" w:cs="Arial Unicode MS"/>
      <w:color w:val="auto"/>
      <w:kern w:val="0"/>
      <w:sz w:val="24"/>
      <w:szCs w:val="24"/>
      <w:lang w:val="ru-RU" w:eastAsia="ru-RU" w:bidi="ru-RU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3"/>
    <w:uiPriority w:val="59"/>
    <w:rsid w:val="00ae6c5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LibreOffice/6.3.4.2$Windows_X86_64 LibreOffice_project/60da17e045e08f1793c57c00ba83cdfce946d0aa</Application>
  <Pages>5</Pages>
  <Words>1661</Words>
  <Characters>11847</Characters>
  <CharactersWithSpaces>13345</CharactersWithSpaces>
  <Paragraphs>203</Paragraphs>
  <Company>DEXP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2021-01-12T13:01:00Z</dcterms:created>
  <dc:creator>VICTOR</dc:creator>
  <dc:description/>
  <dc:language>ru-RU</dc:language>
  <cp:lastModifiedBy/>
  <cp:lastPrinted>2021-01-13T10:51:05Z</cp:lastPrinted>
  <dcterms:modified xsi:type="dcterms:W3CDTF">2021-01-14T14:41:13Z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DEXP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